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E6" w:rsidRPr="00AF45E6" w:rsidRDefault="00AF45E6" w:rsidP="00AF45E6">
      <w:pPr>
        <w:widowControl w:val="0"/>
        <w:autoSpaceDE w:val="0"/>
        <w:autoSpaceDN w:val="0"/>
        <w:adjustRightInd w:val="0"/>
        <w:jc w:val="center"/>
        <w:rPr>
          <w:sz w:val="32"/>
          <w:szCs w:val="32"/>
          <w:lang w:val="fr-FR"/>
        </w:rPr>
      </w:pPr>
      <w:r w:rsidRPr="00AF45E6">
        <w:rPr>
          <w:sz w:val="32"/>
          <w:szCs w:val="32"/>
          <w:lang w:val="fr-FR"/>
        </w:rPr>
        <w:t>Appel à contributions</w:t>
      </w:r>
    </w:p>
    <w:p w:rsidR="00AF45E6" w:rsidRDefault="00AF45E6" w:rsidP="001A22BA">
      <w:pPr>
        <w:widowControl w:val="0"/>
        <w:autoSpaceDE w:val="0"/>
        <w:autoSpaceDN w:val="0"/>
        <w:adjustRightInd w:val="0"/>
        <w:jc w:val="center"/>
        <w:rPr>
          <w:b/>
          <w:sz w:val="36"/>
          <w:szCs w:val="36"/>
          <w:lang w:val="fr-FR"/>
        </w:rPr>
      </w:pPr>
    </w:p>
    <w:p w:rsidR="001A22BA" w:rsidRPr="00232F90" w:rsidRDefault="00376E1C" w:rsidP="001A22BA">
      <w:pPr>
        <w:widowControl w:val="0"/>
        <w:autoSpaceDE w:val="0"/>
        <w:autoSpaceDN w:val="0"/>
        <w:adjustRightInd w:val="0"/>
        <w:jc w:val="center"/>
        <w:rPr>
          <w:b/>
          <w:sz w:val="36"/>
          <w:szCs w:val="36"/>
          <w:lang w:val="fr-FR"/>
        </w:rPr>
      </w:pPr>
      <w:r w:rsidRPr="00232F90">
        <w:rPr>
          <w:b/>
          <w:sz w:val="36"/>
          <w:szCs w:val="36"/>
          <w:lang w:val="fr-FR"/>
        </w:rPr>
        <w:t>Les chercheurs</w:t>
      </w:r>
      <w:r w:rsidR="00D818A1" w:rsidRPr="00232F90">
        <w:rPr>
          <w:b/>
          <w:sz w:val="36"/>
          <w:szCs w:val="36"/>
          <w:lang w:val="fr-FR"/>
        </w:rPr>
        <w:t xml:space="preserve"> en sciences sociales  au XXIè</w:t>
      </w:r>
      <w:r w:rsidR="001A22BA" w:rsidRPr="00232F90">
        <w:rPr>
          <w:b/>
          <w:sz w:val="36"/>
          <w:szCs w:val="36"/>
          <w:lang w:val="fr-FR"/>
        </w:rPr>
        <w:t>me siècle :</w:t>
      </w:r>
    </w:p>
    <w:p w:rsidR="001A22BA" w:rsidRDefault="001A22BA" w:rsidP="001A22BA">
      <w:pPr>
        <w:widowControl w:val="0"/>
        <w:autoSpaceDE w:val="0"/>
        <w:autoSpaceDN w:val="0"/>
        <w:adjustRightInd w:val="0"/>
        <w:jc w:val="center"/>
        <w:rPr>
          <w:b/>
          <w:sz w:val="36"/>
          <w:szCs w:val="36"/>
          <w:lang w:val="fr-FR"/>
        </w:rPr>
      </w:pPr>
      <w:r w:rsidRPr="00232F90">
        <w:rPr>
          <w:b/>
          <w:sz w:val="36"/>
          <w:szCs w:val="36"/>
          <w:lang w:val="fr-FR"/>
        </w:rPr>
        <w:t>Sujets,</w:t>
      </w:r>
      <w:r w:rsidR="00232F90" w:rsidRPr="00232F90">
        <w:rPr>
          <w:b/>
          <w:sz w:val="36"/>
          <w:szCs w:val="36"/>
          <w:lang w:val="fr-FR"/>
        </w:rPr>
        <w:t xml:space="preserve"> institutions</w:t>
      </w:r>
      <w:r w:rsidRPr="00232F90">
        <w:rPr>
          <w:b/>
          <w:sz w:val="36"/>
          <w:szCs w:val="36"/>
          <w:lang w:val="fr-FR"/>
        </w:rPr>
        <w:t>,</w:t>
      </w:r>
      <w:r w:rsidR="00232F90" w:rsidRPr="00232F90">
        <w:rPr>
          <w:b/>
          <w:sz w:val="36"/>
          <w:szCs w:val="36"/>
          <w:lang w:val="fr-FR"/>
        </w:rPr>
        <w:t xml:space="preserve"> </w:t>
      </w:r>
      <w:r w:rsidRPr="00232F90">
        <w:rPr>
          <w:b/>
          <w:sz w:val="36"/>
          <w:szCs w:val="36"/>
          <w:lang w:val="fr-FR"/>
        </w:rPr>
        <w:t>gouvernance, politique</w:t>
      </w:r>
    </w:p>
    <w:p w:rsidR="00AF45E6" w:rsidRDefault="00AF45E6" w:rsidP="00AF45E6">
      <w:pPr>
        <w:jc w:val="center"/>
        <w:rPr>
          <w:sz w:val="28"/>
          <w:lang w:val="fr-FR"/>
        </w:rPr>
      </w:pPr>
    </w:p>
    <w:p w:rsidR="00AF45E6" w:rsidRPr="00AF45E6" w:rsidRDefault="00AF45E6" w:rsidP="00AF45E6">
      <w:pPr>
        <w:jc w:val="center"/>
        <w:rPr>
          <w:sz w:val="32"/>
          <w:szCs w:val="32"/>
          <w:lang w:val="fr-FR"/>
        </w:rPr>
      </w:pPr>
      <w:r w:rsidRPr="00AF45E6">
        <w:rPr>
          <w:sz w:val="32"/>
          <w:szCs w:val="32"/>
          <w:lang w:val="fr-FR"/>
        </w:rPr>
        <w:t>Journées d’étude</w:t>
      </w:r>
    </w:p>
    <w:p w:rsidR="001A22BA" w:rsidRPr="00AF45E6" w:rsidRDefault="00AF45E6" w:rsidP="00AF45E6">
      <w:pPr>
        <w:jc w:val="center"/>
        <w:rPr>
          <w:sz w:val="32"/>
          <w:szCs w:val="32"/>
          <w:lang w:val="fr-FR"/>
        </w:rPr>
      </w:pPr>
      <w:r w:rsidRPr="00AF45E6">
        <w:rPr>
          <w:sz w:val="32"/>
          <w:szCs w:val="32"/>
          <w:lang w:val="fr-FR"/>
        </w:rPr>
        <w:t>8 et 9 novembre  2017</w:t>
      </w:r>
    </w:p>
    <w:p w:rsidR="00AF45E6" w:rsidRDefault="00AF45E6" w:rsidP="001A22BA">
      <w:pPr>
        <w:jc w:val="center"/>
        <w:rPr>
          <w:sz w:val="28"/>
          <w:lang w:val="fr-FR"/>
        </w:rPr>
      </w:pPr>
    </w:p>
    <w:p w:rsidR="00AF45E6" w:rsidRDefault="000A74C9" w:rsidP="001A22BA">
      <w:pPr>
        <w:jc w:val="center"/>
        <w:rPr>
          <w:sz w:val="28"/>
          <w:lang w:val="fr-FR"/>
        </w:rPr>
      </w:pPr>
      <w:r w:rsidRPr="00232F90">
        <w:rPr>
          <w:sz w:val="28"/>
          <w:lang w:val="fr-FR"/>
        </w:rPr>
        <w:t xml:space="preserve">Axe </w:t>
      </w:r>
      <w:r w:rsidR="008A566C">
        <w:rPr>
          <w:sz w:val="28"/>
          <w:lang w:val="fr-FR"/>
        </w:rPr>
        <w:t>« </w:t>
      </w:r>
      <w:r w:rsidRPr="00232F90">
        <w:rPr>
          <w:sz w:val="28"/>
          <w:lang w:val="fr-FR"/>
        </w:rPr>
        <w:t>Travail,</w:t>
      </w:r>
      <w:r w:rsidR="00232F90" w:rsidRPr="00232F90">
        <w:rPr>
          <w:sz w:val="28"/>
          <w:lang w:val="fr-FR"/>
        </w:rPr>
        <w:t xml:space="preserve"> </w:t>
      </w:r>
      <w:r w:rsidRPr="00232F90">
        <w:rPr>
          <w:sz w:val="28"/>
          <w:lang w:val="fr-FR"/>
        </w:rPr>
        <w:t>Finance,</w:t>
      </w:r>
      <w:r w:rsidR="00232F90" w:rsidRPr="00232F90">
        <w:rPr>
          <w:sz w:val="28"/>
          <w:lang w:val="fr-FR"/>
        </w:rPr>
        <w:t xml:space="preserve"> </w:t>
      </w:r>
      <w:r w:rsidR="008A566C">
        <w:rPr>
          <w:sz w:val="28"/>
          <w:lang w:val="fr-FR"/>
        </w:rPr>
        <w:t>Globalisation »</w:t>
      </w:r>
    </w:p>
    <w:p w:rsidR="00232F90" w:rsidRPr="008A566C" w:rsidRDefault="001A22BA" w:rsidP="001A22BA">
      <w:pPr>
        <w:jc w:val="center"/>
        <w:rPr>
          <w:lang w:val="fr-FR"/>
        </w:rPr>
      </w:pPr>
      <w:r w:rsidRPr="008A566C">
        <w:rPr>
          <w:lang w:val="fr-FR"/>
        </w:rPr>
        <w:t xml:space="preserve">UMR CESSMA (Université de Paris 7 Diderot, IRD, INALCO) </w:t>
      </w:r>
    </w:p>
    <w:p w:rsidR="001A22BA" w:rsidRPr="008A566C" w:rsidRDefault="001A22BA" w:rsidP="001A22BA">
      <w:pPr>
        <w:ind w:firstLine="567"/>
        <w:jc w:val="center"/>
        <w:rPr>
          <w:lang w:val="fr-FR"/>
        </w:rPr>
      </w:pPr>
      <w:r w:rsidRPr="008A566C">
        <w:rPr>
          <w:lang w:val="fr-FR"/>
        </w:rPr>
        <w:t xml:space="preserve">Bâtiment Olympe de Gouges (salle </w:t>
      </w:r>
      <w:r w:rsidR="00AF45E6" w:rsidRPr="008A566C">
        <w:rPr>
          <w:lang w:val="fr-FR"/>
        </w:rPr>
        <w:t>M019</w:t>
      </w:r>
      <w:r w:rsidRPr="008A566C">
        <w:rPr>
          <w:lang w:val="fr-FR"/>
        </w:rPr>
        <w:t>)</w:t>
      </w:r>
    </w:p>
    <w:p w:rsidR="001A22BA" w:rsidRPr="008A566C" w:rsidRDefault="001A22BA" w:rsidP="001A22BA">
      <w:pPr>
        <w:ind w:firstLine="567"/>
        <w:jc w:val="center"/>
        <w:rPr>
          <w:lang w:val="fr-FR"/>
        </w:rPr>
      </w:pPr>
      <w:r w:rsidRPr="008A566C">
        <w:rPr>
          <w:lang w:val="fr-FR"/>
        </w:rPr>
        <w:t>rue Albert Einstein, 75013 Paris.</w:t>
      </w:r>
    </w:p>
    <w:p w:rsidR="001A22BA" w:rsidRPr="00232F90" w:rsidRDefault="001A22BA" w:rsidP="001A22BA">
      <w:pPr>
        <w:widowControl w:val="0"/>
        <w:autoSpaceDE w:val="0"/>
        <w:autoSpaceDN w:val="0"/>
        <w:adjustRightInd w:val="0"/>
        <w:jc w:val="center"/>
        <w:rPr>
          <w:sz w:val="28"/>
          <w:lang w:val="fr-FR"/>
        </w:rPr>
      </w:pPr>
    </w:p>
    <w:p w:rsidR="001A22BA" w:rsidRPr="00232F90" w:rsidRDefault="001A22BA" w:rsidP="001A22BA">
      <w:pPr>
        <w:widowControl w:val="0"/>
        <w:autoSpaceDE w:val="0"/>
        <w:autoSpaceDN w:val="0"/>
        <w:adjustRightInd w:val="0"/>
        <w:jc w:val="center"/>
        <w:rPr>
          <w:lang w:val="fr-FR"/>
        </w:rPr>
      </w:pPr>
    </w:p>
    <w:p w:rsidR="001A22BA" w:rsidRPr="00232F90" w:rsidRDefault="001A22BA" w:rsidP="001A22BA">
      <w:pPr>
        <w:widowControl w:val="0"/>
        <w:autoSpaceDE w:val="0"/>
        <w:autoSpaceDN w:val="0"/>
        <w:adjustRightInd w:val="0"/>
        <w:jc w:val="both"/>
        <w:rPr>
          <w:lang w:val="fr-FR"/>
        </w:rPr>
      </w:pPr>
      <w:r w:rsidRPr="00232F90">
        <w:rPr>
          <w:lang w:val="fr-FR"/>
        </w:rPr>
        <w:t>Depuis leur naissance les sciences sociales s’interrogent sur leur fonction, leur rôle, leur rapport au politique (le politique, les politiques, la politique),</w:t>
      </w:r>
      <w:r w:rsidR="00232F90" w:rsidRPr="00232F90">
        <w:rPr>
          <w:lang w:val="fr-FR"/>
        </w:rPr>
        <w:t xml:space="preserve"> leurs logiques</w:t>
      </w:r>
      <w:r w:rsidRPr="00232F90">
        <w:rPr>
          <w:lang w:val="fr-FR"/>
        </w:rPr>
        <w:t>,</w:t>
      </w:r>
      <w:r w:rsidR="00232F90" w:rsidRPr="00232F90">
        <w:rPr>
          <w:lang w:val="fr-FR"/>
        </w:rPr>
        <w:t xml:space="preserve"> </w:t>
      </w:r>
      <w:r w:rsidRPr="00232F90">
        <w:rPr>
          <w:lang w:val="fr-FR"/>
        </w:rPr>
        <w:t>l’ensemble de ces questionnements étant regroupés sous le chapeau de p</w:t>
      </w:r>
      <w:r w:rsidR="00232F90" w:rsidRPr="00232F90">
        <w:rPr>
          <w:lang w:val="fr-FR"/>
        </w:rPr>
        <w:t xml:space="preserve">roblématiques épistémologiques, </w:t>
      </w:r>
      <w:r w:rsidRPr="00232F90">
        <w:rPr>
          <w:lang w:val="fr-FR"/>
        </w:rPr>
        <w:t>aux accents plus ou moins</w:t>
      </w:r>
      <w:r w:rsidR="00232F90" w:rsidRPr="00232F90">
        <w:rPr>
          <w:lang w:val="fr-FR"/>
        </w:rPr>
        <w:t xml:space="preserve"> théoriques ou situés, concrets</w:t>
      </w:r>
      <w:r w:rsidRPr="00232F90">
        <w:rPr>
          <w:lang w:val="fr-FR"/>
        </w:rPr>
        <w:t>,</w:t>
      </w:r>
      <w:r w:rsidR="00232F90" w:rsidRPr="00232F90">
        <w:rPr>
          <w:lang w:val="fr-FR"/>
        </w:rPr>
        <w:t xml:space="preserve"> </w:t>
      </w:r>
      <w:r w:rsidRPr="00232F90">
        <w:rPr>
          <w:lang w:val="fr-FR"/>
        </w:rPr>
        <w:t xml:space="preserve">appréhendés en termes d’objets et de disciplines. Les dernières décennies ont vu la recherche intensément  mise à l’épreuve </w:t>
      </w:r>
      <w:r w:rsidR="00376E1C" w:rsidRPr="00232F90">
        <w:rPr>
          <w:lang w:val="fr-FR"/>
        </w:rPr>
        <w:t xml:space="preserve"> par </w:t>
      </w:r>
      <w:r w:rsidRPr="00232F90">
        <w:rPr>
          <w:lang w:val="fr-FR"/>
        </w:rPr>
        <w:t xml:space="preserve"> de</w:t>
      </w:r>
      <w:r w:rsidR="00376E1C" w:rsidRPr="00232F90">
        <w:rPr>
          <w:lang w:val="fr-FR"/>
        </w:rPr>
        <w:t>s</w:t>
      </w:r>
      <w:r w:rsidRPr="00232F90">
        <w:rPr>
          <w:lang w:val="fr-FR"/>
        </w:rPr>
        <w:t xml:space="preserve"> questionnements renouvelés</w:t>
      </w:r>
      <w:r w:rsidR="00232F90" w:rsidRPr="00232F90">
        <w:rPr>
          <w:lang w:val="fr-FR"/>
        </w:rPr>
        <w:t>, principalement</w:t>
      </w:r>
      <w:r w:rsidRPr="00232F90">
        <w:rPr>
          <w:lang w:val="fr-FR"/>
        </w:rPr>
        <w:t xml:space="preserve"> sous deux angles</w:t>
      </w:r>
      <w:r w:rsidR="00232F90" w:rsidRPr="00232F90">
        <w:rPr>
          <w:lang w:val="fr-FR"/>
        </w:rPr>
        <w:t> </w:t>
      </w:r>
      <w:r w:rsidRPr="00232F90">
        <w:rPr>
          <w:lang w:val="fr-FR"/>
        </w:rPr>
        <w:t>: des réflexivités internes qui par leur engouement pour la spécification ne sont pas exemptes des travers égologiques, des</w:t>
      </w:r>
      <w:r w:rsidR="00376E1C" w:rsidRPr="00232F90">
        <w:rPr>
          <w:lang w:val="fr-FR"/>
        </w:rPr>
        <w:t xml:space="preserve"> modes normatifs d’</w:t>
      </w:r>
      <w:r w:rsidRPr="00232F90">
        <w:rPr>
          <w:lang w:val="fr-FR"/>
        </w:rPr>
        <w:t>engagements  de plus en plus valorisés publiquement, et relativement à l’écart des insertions institutionnelles du ch</w:t>
      </w:r>
      <w:r w:rsidR="001733B3" w:rsidRPr="00232F90">
        <w:rPr>
          <w:lang w:val="fr-FR"/>
        </w:rPr>
        <w:t>ercheur. Il s’en est suivi la ge</w:t>
      </w:r>
      <w:r w:rsidRPr="00232F90">
        <w:rPr>
          <w:lang w:val="fr-FR"/>
        </w:rPr>
        <w:t>nèse d’épistémologies partielles, requalifiées de divers attributs (féministe, minoritaire etc.), signant  sans le vouloir  l’aband</w:t>
      </w:r>
      <w:r w:rsidR="00232F90" w:rsidRPr="00232F90">
        <w:rPr>
          <w:lang w:val="fr-FR"/>
        </w:rPr>
        <w:t xml:space="preserve">on d’une épistémologie globale. </w:t>
      </w:r>
      <w:r w:rsidRPr="00232F90">
        <w:rPr>
          <w:lang w:val="fr-FR"/>
        </w:rPr>
        <w:t>Rappelons que les courants dits « critiques » avaient exemplifi</w:t>
      </w:r>
      <w:r w:rsidR="00232F90" w:rsidRPr="00232F90">
        <w:rPr>
          <w:lang w:val="fr-FR"/>
        </w:rPr>
        <w:t xml:space="preserve">é la </w:t>
      </w:r>
      <w:r w:rsidRPr="00232F90">
        <w:rPr>
          <w:lang w:val="fr-FR"/>
        </w:rPr>
        <w:t>perspective d’une épistémol</w:t>
      </w:r>
      <w:r w:rsidR="00232F90" w:rsidRPr="00232F90">
        <w:rPr>
          <w:lang w:val="fr-FR"/>
        </w:rPr>
        <w:t>ogie « totale</w:t>
      </w:r>
      <w:r w:rsidR="00A60E6B">
        <w:rPr>
          <w:lang w:val="fr-FR"/>
        </w:rPr>
        <w:t> </w:t>
      </w:r>
      <w:bookmarkStart w:id="0" w:name="_GoBack"/>
      <w:bookmarkEnd w:id="0"/>
      <w:r w:rsidR="00232F90" w:rsidRPr="00232F90">
        <w:rPr>
          <w:lang w:val="fr-FR"/>
        </w:rPr>
        <w:t>» au XXème  siècle,</w:t>
      </w:r>
      <w:r w:rsidRPr="00232F90">
        <w:rPr>
          <w:lang w:val="fr-FR"/>
        </w:rPr>
        <w:t xml:space="preserve">  en s’arrimant</w:t>
      </w:r>
      <w:r w:rsidR="00232F90" w:rsidRPr="00232F90">
        <w:rPr>
          <w:lang w:val="fr-FR"/>
        </w:rPr>
        <w:t>,</w:t>
      </w:r>
      <w:r w:rsidRPr="00232F90">
        <w:rPr>
          <w:lang w:val="fr-FR"/>
        </w:rPr>
        <w:t xml:space="preserve"> au plan philosophique</w:t>
      </w:r>
      <w:r w:rsidR="00232F90" w:rsidRPr="00232F90">
        <w:rPr>
          <w:lang w:val="fr-FR"/>
        </w:rPr>
        <w:t>,</w:t>
      </w:r>
      <w:r w:rsidRPr="00232F90">
        <w:rPr>
          <w:lang w:val="fr-FR"/>
        </w:rPr>
        <w:t xml:space="preserve">  principalement aux grandes remises en cause dans l’intelligibilité des sujets et des sociétés provoquées  par le m</w:t>
      </w:r>
      <w:r w:rsidR="00232F90" w:rsidRPr="00232F90">
        <w:rPr>
          <w:lang w:val="fr-FR"/>
        </w:rPr>
        <w:t xml:space="preserve">arxisme et  la </w:t>
      </w:r>
      <w:proofErr w:type="gramStart"/>
      <w:r w:rsidR="00232F90" w:rsidRPr="00232F90">
        <w:rPr>
          <w:lang w:val="fr-FR"/>
        </w:rPr>
        <w:t>psychanalyse</w:t>
      </w:r>
      <w:proofErr w:type="gramEnd"/>
      <w:r w:rsidR="001733B3" w:rsidRPr="00232F90">
        <w:rPr>
          <w:lang w:val="fr-FR"/>
        </w:rPr>
        <w:t>. Les diff</w:t>
      </w:r>
      <w:r w:rsidR="00232F90" w:rsidRPr="00232F90">
        <w:rPr>
          <w:lang w:val="fr-FR"/>
        </w:rPr>
        <w:t>érents cour</w:t>
      </w:r>
      <w:r w:rsidR="001733B3" w:rsidRPr="00232F90">
        <w:rPr>
          <w:lang w:val="fr-FR"/>
        </w:rPr>
        <w:t>ants qui se sont affirmés sous la dénomination d’</w:t>
      </w:r>
      <w:r w:rsidRPr="00232F90">
        <w:rPr>
          <w:lang w:val="fr-FR"/>
        </w:rPr>
        <w:t>an</w:t>
      </w:r>
      <w:r w:rsidR="001733B3" w:rsidRPr="00232F90">
        <w:rPr>
          <w:lang w:val="fr-FR"/>
        </w:rPr>
        <w:t>alyse ins</w:t>
      </w:r>
      <w:r w:rsidR="00232F90" w:rsidRPr="00232F90">
        <w:rPr>
          <w:lang w:val="fr-FR"/>
        </w:rPr>
        <w:t>titutionnelle, et qui se sont app</w:t>
      </w:r>
      <w:r w:rsidR="001733B3" w:rsidRPr="00232F90">
        <w:rPr>
          <w:lang w:val="fr-FR"/>
        </w:rPr>
        <w:t xml:space="preserve">liqués </w:t>
      </w:r>
      <w:r w:rsidRPr="00232F90">
        <w:rPr>
          <w:lang w:val="fr-FR"/>
        </w:rPr>
        <w:t xml:space="preserve"> dans des champs aussi divers que l’université et le thérapeutique </w:t>
      </w:r>
      <w:r w:rsidR="001733B3" w:rsidRPr="00232F90">
        <w:rPr>
          <w:lang w:val="fr-FR"/>
        </w:rPr>
        <w:t xml:space="preserve">à partir des années </w:t>
      </w:r>
      <w:r w:rsidR="00232F90" w:rsidRPr="00232F90">
        <w:rPr>
          <w:lang w:val="fr-FR"/>
        </w:rPr>
        <w:t>19</w:t>
      </w:r>
      <w:r w:rsidR="001733B3" w:rsidRPr="00232F90">
        <w:rPr>
          <w:lang w:val="fr-FR"/>
        </w:rPr>
        <w:t>50</w:t>
      </w:r>
      <w:r w:rsidR="00232F90" w:rsidRPr="00232F90">
        <w:rPr>
          <w:lang w:val="fr-FR"/>
        </w:rPr>
        <w:t>,</w:t>
      </w:r>
      <w:r w:rsidR="001733B3" w:rsidRPr="00232F90">
        <w:rPr>
          <w:lang w:val="fr-FR"/>
        </w:rPr>
        <w:t xml:space="preserve">  </w:t>
      </w:r>
      <w:r w:rsidR="00232F90" w:rsidRPr="00232F90">
        <w:rPr>
          <w:lang w:val="fr-FR"/>
        </w:rPr>
        <w:t>ont</w:t>
      </w:r>
      <w:r w:rsidR="001733B3" w:rsidRPr="00232F90">
        <w:rPr>
          <w:lang w:val="fr-FR"/>
        </w:rPr>
        <w:t xml:space="preserve"> </w:t>
      </w:r>
      <w:r w:rsidR="00232F90" w:rsidRPr="00232F90">
        <w:rPr>
          <w:lang w:val="fr-FR"/>
        </w:rPr>
        <w:t xml:space="preserve"> </w:t>
      </w:r>
      <w:r w:rsidRPr="00232F90">
        <w:rPr>
          <w:lang w:val="fr-FR"/>
        </w:rPr>
        <w:t xml:space="preserve">par la suite contribué </w:t>
      </w:r>
      <w:r w:rsidR="00232F90" w:rsidRPr="00232F90">
        <w:rPr>
          <w:lang w:val="fr-FR"/>
        </w:rPr>
        <w:t xml:space="preserve">de façon importante </w:t>
      </w:r>
      <w:r w:rsidRPr="00232F90">
        <w:rPr>
          <w:lang w:val="fr-FR"/>
        </w:rPr>
        <w:t>à l’actualisation des questions</w:t>
      </w:r>
      <w:r w:rsidR="00A60E6B">
        <w:rPr>
          <w:lang w:val="fr-FR"/>
        </w:rPr>
        <w:t xml:space="preserve"> sur la nature de la « science »</w:t>
      </w:r>
      <w:r w:rsidRPr="00232F90">
        <w:rPr>
          <w:lang w:val="fr-FR"/>
        </w:rPr>
        <w:t xml:space="preserve">, </w:t>
      </w:r>
      <w:r w:rsidR="001733B3" w:rsidRPr="00232F90">
        <w:rPr>
          <w:lang w:val="fr-FR"/>
        </w:rPr>
        <w:t xml:space="preserve">le plus </w:t>
      </w:r>
      <w:r w:rsidRPr="00232F90">
        <w:rPr>
          <w:lang w:val="fr-FR"/>
        </w:rPr>
        <w:t>souvent en termes de  contraintes de la « demande sociale »</w:t>
      </w:r>
    </w:p>
    <w:p w:rsidR="001A22BA" w:rsidRPr="00232F90" w:rsidRDefault="001A22BA" w:rsidP="001A22BA">
      <w:pPr>
        <w:widowControl w:val="0"/>
        <w:autoSpaceDE w:val="0"/>
        <w:autoSpaceDN w:val="0"/>
        <w:adjustRightInd w:val="0"/>
        <w:jc w:val="both"/>
        <w:rPr>
          <w:lang w:val="fr-FR"/>
        </w:rPr>
      </w:pPr>
    </w:p>
    <w:p w:rsidR="001A22BA" w:rsidRPr="00232F90" w:rsidRDefault="001A22BA" w:rsidP="001A22BA">
      <w:pPr>
        <w:widowControl w:val="0"/>
        <w:autoSpaceDE w:val="0"/>
        <w:autoSpaceDN w:val="0"/>
        <w:adjustRightInd w:val="0"/>
        <w:jc w:val="both"/>
        <w:rPr>
          <w:lang w:val="fr-FR"/>
        </w:rPr>
      </w:pPr>
      <w:r w:rsidRPr="00232F90">
        <w:rPr>
          <w:lang w:val="fr-FR"/>
        </w:rPr>
        <w:t>Dans le contexte actuel, marqué par des processus de glob</w:t>
      </w:r>
      <w:r w:rsidR="00232F90" w:rsidRPr="00232F90">
        <w:rPr>
          <w:lang w:val="fr-FR"/>
        </w:rPr>
        <w:t>alisation financière, politique</w:t>
      </w:r>
      <w:r w:rsidRPr="00232F90">
        <w:rPr>
          <w:lang w:val="fr-FR"/>
        </w:rPr>
        <w:t xml:space="preserve">, numérique qui </w:t>
      </w:r>
      <w:r w:rsidR="00232F90" w:rsidRPr="00232F90">
        <w:rPr>
          <w:lang w:val="fr-FR"/>
        </w:rPr>
        <w:t xml:space="preserve">tendent à </w:t>
      </w:r>
      <w:proofErr w:type="spellStart"/>
      <w:r w:rsidR="00232F90" w:rsidRPr="00232F90">
        <w:rPr>
          <w:lang w:val="fr-FR"/>
        </w:rPr>
        <w:t>marchandiser</w:t>
      </w:r>
      <w:proofErr w:type="spellEnd"/>
      <w:r w:rsidR="00232F90" w:rsidRPr="00232F90">
        <w:rPr>
          <w:lang w:val="fr-FR"/>
        </w:rPr>
        <w:t xml:space="preserve"> les</w:t>
      </w:r>
      <w:r w:rsidRPr="00232F90">
        <w:rPr>
          <w:lang w:val="fr-FR"/>
        </w:rPr>
        <w:t xml:space="preserve"> </w:t>
      </w:r>
      <w:r w:rsidR="00232F90" w:rsidRPr="00232F90">
        <w:rPr>
          <w:lang w:val="fr-FR"/>
        </w:rPr>
        <w:t>dynamiques intellectuelles, renversa</w:t>
      </w:r>
      <w:r w:rsidRPr="00232F90">
        <w:rPr>
          <w:lang w:val="fr-FR"/>
        </w:rPr>
        <w:t xml:space="preserve">nt </w:t>
      </w:r>
      <w:r w:rsidR="00232F90" w:rsidRPr="00232F90">
        <w:rPr>
          <w:lang w:val="fr-FR"/>
        </w:rPr>
        <w:t>ce faisant</w:t>
      </w:r>
      <w:r w:rsidRPr="00232F90">
        <w:rPr>
          <w:lang w:val="fr-FR"/>
        </w:rPr>
        <w:t xml:space="preserve"> leurs intentionnalités, comment peut-on repenser de façon inci</w:t>
      </w:r>
      <w:r w:rsidR="00232F90" w:rsidRPr="00232F90">
        <w:rPr>
          <w:lang w:val="fr-FR"/>
        </w:rPr>
        <w:t xml:space="preserve">sive les fonctionnements de la </w:t>
      </w:r>
      <w:r w:rsidRPr="00232F90">
        <w:rPr>
          <w:lang w:val="fr-FR"/>
        </w:rPr>
        <w:t xml:space="preserve">recherche ? Il faut en effet saisir toutes les conséquences épistémiques </w:t>
      </w:r>
      <w:r w:rsidR="00B124F4">
        <w:rPr>
          <w:lang w:val="fr-FR"/>
        </w:rPr>
        <w:t xml:space="preserve"> des processus </w:t>
      </w:r>
      <w:r w:rsidR="00087EFD" w:rsidRPr="00232F90">
        <w:rPr>
          <w:lang w:val="fr-FR"/>
        </w:rPr>
        <w:t>d</w:t>
      </w:r>
      <w:r w:rsidRPr="00232F90">
        <w:rPr>
          <w:lang w:val="fr-FR"/>
        </w:rPr>
        <w:t>e</w:t>
      </w:r>
      <w:r w:rsidR="00B124F4">
        <w:rPr>
          <w:lang w:val="fr-FR"/>
        </w:rPr>
        <w:t xml:space="preserve"> </w:t>
      </w:r>
      <w:r w:rsidR="00B124F4">
        <w:rPr>
          <w:lang w:val="fr-FR"/>
        </w:rPr>
        <w:lastRenderedPageBreak/>
        <w:t xml:space="preserve">métamorphose de l’idéologie de marché </w:t>
      </w:r>
      <w:r w:rsidRPr="00232F90">
        <w:rPr>
          <w:lang w:val="fr-FR"/>
        </w:rPr>
        <w:t>en para</w:t>
      </w:r>
      <w:r w:rsidR="00232F90" w:rsidRPr="00232F90">
        <w:rPr>
          <w:lang w:val="fr-FR"/>
        </w:rPr>
        <w:t xml:space="preserve">digmes de la recherche : ainsi </w:t>
      </w:r>
      <w:r w:rsidRPr="00232F90">
        <w:rPr>
          <w:lang w:val="fr-FR"/>
        </w:rPr>
        <w:t>l’individu serait libre, libéral, voi</w:t>
      </w:r>
      <w:r w:rsidR="00232F90" w:rsidRPr="00232F90">
        <w:rPr>
          <w:lang w:val="fr-FR"/>
        </w:rPr>
        <w:t xml:space="preserve">re </w:t>
      </w:r>
      <w:proofErr w:type="spellStart"/>
      <w:r w:rsidR="00232F90" w:rsidRPr="00232F90">
        <w:rPr>
          <w:lang w:val="fr-FR"/>
        </w:rPr>
        <w:t>libertarien</w:t>
      </w:r>
      <w:proofErr w:type="spellEnd"/>
      <w:r w:rsidR="00232F90" w:rsidRPr="00232F90">
        <w:rPr>
          <w:lang w:val="fr-FR"/>
        </w:rPr>
        <w:t xml:space="preserve">, nécessairement </w:t>
      </w:r>
      <w:r w:rsidRPr="00232F90">
        <w:rPr>
          <w:lang w:val="fr-FR"/>
        </w:rPr>
        <w:t xml:space="preserve">consentant  dans une vie faite de contrats de toutes sortes, doté de droits fragmentés et démultipliés, </w:t>
      </w:r>
      <w:r w:rsidR="00087EFD" w:rsidRPr="00232F90">
        <w:rPr>
          <w:lang w:val="fr-FR"/>
        </w:rPr>
        <w:t xml:space="preserve">amené  à élaborer </w:t>
      </w:r>
      <w:r w:rsidRPr="00232F90">
        <w:rPr>
          <w:lang w:val="fr-FR"/>
        </w:rPr>
        <w:t xml:space="preserve"> sa subjectivité  sur le mode </w:t>
      </w:r>
      <w:r w:rsidR="00087EFD" w:rsidRPr="00232F90">
        <w:rPr>
          <w:lang w:val="fr-FR"/>
        </w:rPr>
        <w:t>des disruptions qui constellent les rapports sociaux.</w:t>
      </w:r>
    </w:p>
    <w:p w:rsidR="001A22BA" w:rsidRPr="00232F90" w:rsidRDefault="001A22BA" w:rsidP="001A22BA">
      <w:pPr>
        <w:widowControl w:val="0"/>
        <w:autoSpaceDE w:val="0"/>
        <w:autoSpaceDN w:val="0"/>
        <w:adjustRightInd w:val="0"/>
        <w:jc w:val="both"/>
        <w:rPr>
          <w:lang w:val="fr-FR"/>
        </w:rPr>
      </w:pPr>
    </w:p>
    <w:p w:rsidR="001A22BA" w:rsidRPr="00232F90" w:rsidRDefault="001A22BA" w:rsidP="001A22BA">
      <w:pPr>
        <w:widowControl w:val="0"/>
        <w:autoSpaceDE w:val="0"/>
        <w:autoSpaceDN w:val="0"/>
        <w:adjustRightInd w:val="0"/>
        <w:jc w:val="both"/>
        <w:rPr>
          <w:lang w:val="fr-FR"/>
        </w:rPr>
      </w:pPr>
      <w:r w:rsidRPr="00232F90">
        <w:rPr>
          <w:lang w:val="fr-FR"/>
        </w:rPr>
        <w:t xml:space="preserve">Nous souhaitons engager un débat collectif qui s’attache à </w:t>
      </w:r>
      <w:r w:rsidR="00232F90" w:rsidRPr="00232F90">
        <w:rPr>
          <w:lang w:val="fr-FR"/>
        </w:rPr>
        <w:t>décrypter les  enjeux – nouveaux</w:t>
      </w:r>
      <w:r w:rsidRPr="00232F90">
        <w:rPr>
          <w:lang w:val="fr-FR"/>
        </w:rPr>
        <w:t>,</w:t>
      </w:r>
      <w:r w:rsidR="00232F90" w:rsidRPr="00232F90">
        <w:rPr>
          <w:lang w:val="fr-FR"/>
        </w:rPr>
        <w:t xml:space="preserve"> </w:t>
      </w:r>
      <w:r w:rsidRPr="00232F90">
        <w:rPr>
          <w:lang w:val="fr-FR"/>
        </w:rPr>
        <w:t>inédits ou reproduits</w:t>
      </w:r>
      <w:r w:rsidR="00232F90" w:rsidRPr="00232F90">
        <w:rPr>
          <w:lang w:val="fr-FR"/>
        </w:rPr>
        <w:t xml:space="preserve"> – </w:t>
      </w:r>
      <w:r w:rsidRPr="00232F90">
        <w:rPr>
          <w:lang w:val="fr-FR"/>
        </w:rPr>
        <w:t>de la situation présente qui a pour caractéristique d’être placée sous l’égide d’une gouvernance e</w:t>
      </w:r>
      <w:r w:rsidR="00232F90" w:rsidRPr="00232F90">
        <w:rPr>
          <w:lang w:val="fr-FR"/>
        </w:rPr>
        <w:t>stimée nécessairement « bonne »</w:t>
      </w:r>
      <w:r w:rsidRPr="00232F90">
        <w:rPr>
          <w:lang w:val="fr-FR"/>
        </w:rPr>
        <w:t>,</w:t>
      </w:r>
      <w:r w:rsidR="00232F90" w:rsidRPr="00232F90">
        <w:rPr>
          <w:lang w:val="fr-FR"/>
        </w:rPr>
        <w:t xml:space="preserve"> </w:t>
      </w:r>
      <w:r w:rsidRPr="00232F90">
        <w:rPr>
          <w:lang w:val="fr-FR"/>
        </w:rPr>
        <w:t>comme les éthiques qu’elle met en avant, l’ensemble étant  de plus en plus revendiqué par un grand nombre de cher</w:t>
      </w:r>
      <w:r w:rsidR="00232F90" w:rsidRPr="00232F90">
        <w:rPr>
          <w:lang w:val="fr-FR"/>
        </w:rPr>
        <w:t xml:space="preserve">cheurs, </w:t>
      </w:r>
      <w:r w:rsidRPr="00232F90">
        <w:rPr>
          <w:lang w:val="fr-FR"/>
        </w:rPr>
        <w:t>convaincus des bienfaits de ce qu’on dénomme « le privé »,</w:t>
      </w:r>
      <w:r w:rsidR="00B124F4">
        <w:rPr>
          <w:lang w:val="fr-FR"/>
        </w:rPr>
        <w:t xml:space="preserve"> </w:t>
      </w:r>
      <w:r w:rsidR="00232F90" w:rsidRPr="00232F90">
        <w:rPr>
          <w:lang w:val="fr-FR"/>
        </w:rPr>
        <w:t xml:space="preserve">l’entreprise, la philanthropie, </w:t>
      </w:r>
      <w:r w:rsidRPr="00232F90">
        <w:rPr>
          <w:lang w:val="fr-FR"/>
        </w:rPr>
        <w:t>et tous les emblèmes du  capitalisme ainsi moralisé.</w:t>
      </w:r>
    </w:p>
    <w:p w:rsidR="001A22BA" w:rsidRPr="00232F90" w:rsidRDefault="001A22BA" w:rsidP="001A22BA">
      <w:pPr>
        <w:widowControl w:val="0"/>
        <w:autoSpaceDE w:val="0"/>
        <w:autoSpaceDN w:val="0"/>
        <w:adjustRightInd w:val="0"/>
        <w:jc w:val="both"/>
        <w:rPr>
          <w:lang w:val="fr-FR"/>
        </w:rPr>
      </w:pPr>
    </w:p>
    <w:p w:rsidR="001A22BA" w:rsidRPr="00232F90" w:rsidRDefault="001A22BA" w:rsidP="001A22BA">
      <w:pPr>
        <w:widowControl w:val="0"/>
        <w:autoSpaceDE w:val="0"/>
        <w:autoSpaceDN w:val="0"/>
        <w:adjustRightInd w:val="0"/>
        <w:jc w:val="both"/>
        <w:rPr>
          <w:lang w:val="fr-FR"/>
        </w:rPr>
      </w:pPr>
      <w:r w:rsidRPr="00232F90">
        <w:rPr>
          <w:lang w:val="fr-FR"/>
        </w:rPr>
        <w:t>Les axes qui peuvent  nourrir ces débats sont nombreux</w:t>
      </w:r>
      <w:r w:rsidR="00232F90" w:rsidRPr="00232F90">
        <w:rPr>
          <w:lang w:val="fr-FR"/>
        </w:rPr>
        <w:t>,</w:t>
      </w:r>
      <w:r w:rsidRPr="00232F90">
        <w:rPr>
          <w:lang w:val="fr-FR"/>
        </w:rPr>
        <w:t xml:space="preserve">  mais </w:t>
      </w:r>
      <w:r w:rsidR="00232F90" w:rsidRPr="00232F90">
        <w:rPr>
          <w:lang w:val="fr-FR"/>
        </w:rPr>
        <w:t xml:space="preserve">au-delà de leur pluralité, </w:t>
      </w:r>
      <w:r w:rsidRPr="00232F90">
        <w:rPr>
          <w:lang w:val="fr-FR"/>
        </w:rPr>
        <w:t>il nous semble important  que les contributions ambitionnent de se placer dans une épistémologie totalisante, qui évite les fragmentations usuelles des sempiternelles analyses dites  réflexives et engagées dans les méandres de la restitution.</w:t>
      </w:r>
      <w:r w:rsidR="00232F90" w:rsidRPr="00232F90">
        <w:rPr>
          <w:lang w:val="fr-FR"/>
        </w:rPr>
        <w:t xml:space="preserve"> </w:t>
      </w:r>
      <w:r w:rsidRPr="00232F90">
        <w:rPr>
          <w:lang w:val="fr-FR"/>
        </w:rPr>
        <w:t>Il s’agit d’appréhender dans une même vision le</w:t>
      </w:r>
      <w:r w:rsidR="00232F90" w:rsidRPr="00232F90">
        <w:rPr>
          <w:lang w:val="fr-FR"/>
        </w:rPr>
        <w:t>s effets à la fois  objectifs et subjectifs, matériels</w:t>
      </w:r>
      <w:r w:rsidRPr="00232F90">
        <w:rPr>
          <w:lang w:val="fr-FR"/>
        </w:rPr>
        <w:t xml:space="preserve"> et imaginaires</w:t>
      </w:r>
      <w:r w:rsidR="00232F90" w:rsidRPr="00232F90">
        <w:rPr>
          <w:lang w:val="fr-FR"/>
        </w:rPr>
        <w:t>,</w:t>
      </w:r>
      <w:r w:rsidRPr="00232F90">
        <w:rPr>
          <w:lang w:val="fr-FR"/>
        </w:rPr>
        <w:t xml:space="preserve"> des dominances idéol</w:t>
      </w:r>
      <w:r w:rsidR="002E43C7" w:rsidRPr="00232F90">
        <w:rPr>
          <w:lang w:val="fr-FR"/>
        </w:rPr>
        <w:t xml:space="preserve">ogiques et de leurs déterminations </w:t>
      </w:r>
      <w:r w:rsidRPr="00232F90">
        <w:rPr>
          <w:lang w:val="fr-FR"/>
        </w:rPr>
        <w:t xml:space="preserve"> concrètes.</w:t>
      </w:r>
    </w:p>
    <w:p w:rsidR="001A22BA" w:rsidRPr="00232F90" w:rsidRDefault="001A22BA" w:rsidP="001A22BA">
      <w:pPr>
        <w:widowControl w:val="0"/>
        <w:autoSpaceDE w:val="0"/>
        <w:autoSpaceDN w:val="0"/>
        <w:adjustRightInd w:val="0"/>
        <w:jc w:val="both"/>
        <w:rPr>
          <w:lang w:val="fr-FR"/>
        </w:rPr>
      </w:pPr>
    </w:p>
    <w:p w:rsidR="001A22BA" w:rsidRPr="00232F90" w:rsidRDefault="00087EFD" w:rsidP="001A22BA">
      <w:pPr>
        <w:widowControl w:val="0"/>
        <w:autoSpaceDE w:val="0"/>
        <w:autoSpaceDN w:val="0"/>
        <w:adjustRightInd w:val="0"/>
        <w:jc w:val="both"/>
        <w:rPr>
          <w:lang w:val="fr-FR"/>
        </w:rPr>
      </w:pPr>
      <w:r w:rsidRPr="00232F90">
        <w:rPr>
          <w:lang w:val="fr-FR"/>
        </w:rPr>
        <w:t>Les contributions pourront entre autres s’interroger sur les points suivants</w:t>
      </w:r>
      <w:r w:rsidR="00A60E6B">
        <w:rPr>
          <w:lang w:val="fr-FR"/>
        </w:rPr>
        <w:t> </w:t>
      </w:r>
      <w:r w:rsidRPr="00232F90">
        <w:rPr>
          <w:lang w:val="fr-FR"/>
        </w:rPr>
        <w:t>:</w:t>
      </w:r>
    </w:p>
    <w:p w:rsidR="00087EFD" w:rsidRPr="00232F90" w:rsidRDefault="00087EFD" w:rsidP="001A22BA">
      <w:pPr>
        <w:widowControl w:val="0"/>
        <w:autoSpaceDE w:val="0"/>
        <w:autoSpaceDN w:val="0"/>
        <w:adjustRightInd w:val="0"/>
        <w:jc w:val="both"/>
        <w:rPr>
          <w:lang w:val="fr-FR"/>
        </w:rPr>
      </w:pPr>
    </w:p>
    <w:p w:rsidR="001A22BA" w:rsidRPr="00232F90" w:rsidRDefault="00232F90" w:rsidP="00232F90">
      <w:pPr>
        <w:pStyle w:val="Paragraphedeliste"/>
        <w:widowControl w:val="0"/>
        <w:numPr>
          <w:ilvl w:val="0"/>
          <w:numId w:val="2"/>
        </w:numPr>
        <w:autoSpaceDE w:val="0"/>
        <w:autoSpaceDN w:val="0"/>
        <w:adjustRightInd w:val="0"/>
        <w:jc w:val="both"/>
        <w:rPr>
          <w:lang w:val="fr-FR"/>
        </w:rPr>
      </w:pPr>
      <w:r w:rsidRPr="00232F90">
        <w:rPr>
          <w:lang w:val="fr-FR"/>
        </w:rPr>
        <w:t>L</w:t>
      </w:r>
      <w:r w:rsidR="001A22BA" w:rsidRPr="00232F90">
        <w:rPr>
          <w:lang w:val="fr-FR"/>
        </w:rPr>
        <w:t>e sujet chercheur fa</w:t>
      </w:r>
      <w:r w:rsidRPr="00232F90">
        <w:rPr>
          <w:lang w:val="fr-FR"/>
        </w:rPr>
        <w:t>ce à</w:t>
      </w:r>
      <w:r w:rsidR="001A22BA" w:rsidRPr="00232F90">
        <w:rPr>
          <w:lang w:val="fr-FR"/>
        </w:rPr>
        <w:t xml:space="preserve"> quel type de sujet interlocuteur</w:t>
      </w:r>
      <w:r w:rsidR="00A60E6B">
        <w:rPr>
          <w:lang w:val="fr-FR"/>
        </w:rPr>
        <w:t> </w:t>
      </w:r>
      <w:r w:rsidR="001A22BA" w:rsidRPr="00232F90">
        <w:rPr>
          <w:lang w:val="fr-FR"/>
        </w:rPr>
        <w:t xml:space="preserve">? Quelles sont les constructions subjectives en présence ? Comment se </w:t>
      </w:r>
      <w:proofErr w:type="spellStart"/>
      <w:r w:rsidR="001A22BA" w:rsidRPr="00232F90">
        <w:rPr>
          <w:lang w:val="fr-FR"/>
        </w:rPr>
        <w:t>croisent–elles</w:t>
      </w:r>
      <w:proofErr w:type="spellEnd"/>
      <w:r w:rsidR="001A22BA" w:rsidRPr="00232F90">
        <w:rPr>
          <w:lang w:val="fr-FR"/>
        </w:rPr>
        <w:t> ?</w:t>
      </w:r>
      <w:r w:rsidRPr="00232F90">
        <w:rPr>
          <w:lang w:val="fr-FR"/>
        </w:rPr>
        <w:t xml:space="preserve"> </w:t>
      </w:r>
      <w:r w:rsidR="001A22BA" w:rsidRPr="00232F90">
        <w:rPr>
          <w:lang w:val="fr-FR"/>
        </w:rPr>
        <w:t>Comment s’imbriquent-elles ? Quelles conceptions de</w:t>
      </w:r>
      <w:r w:rsidR="00087EFD" w:rsidRPr="00232F90">
        <w:rPr>
          <w:lang w:val="fr-FR"/>
        </w:rPr>
        <w:t xml:space="preserve"> la subjectivité sont mises en </w:t>
      </w:r>
      <w:r w:rsidRPr="00232F90">
        <w:rPr>
          <w:lang w:val="fr-FR"/>
        </w:rPr>
        <w:t>œuvre</w:t>
      </w:r>
      <w:r w:rsidR="001A22BA" w:rsidRPr="00232F90">
        <w:rPr>
          <w:lang w:val="fr-FR"/>
        </w:rPr>
        <w:t xml:space="preserve"> de façon processuelle ?</w:t>
      </w:r>
    </w:p>
    <w:p w:rsidR="001A22BA" w:rsidRPr="00232F90" w:rsidRDefault="001A22BA" w:rsidP="001A22BA">
      <w:pPr>
        <w:widowControl w:val="0"/>
        <w:autoSpaceDE w:val="0"/>
        <w:autoSpaceDN w:val="0"/>
        <w:adjustRightInd w:val="0"/>
        <w:jc w:val="both"/>
        <w:rPr>
          <w:lang w:val="fr-FR"/>
        </w:rPr>
      </w:pPr>
    </w:p>
    <w:p w:rsidR="001A22BA" w:rsidRPr="00232F90" w:rsidRDefault="00232F90" w:rsidP="00232F90">
      <w:pPr>
        <w:pStyle w:val="Paragraphedeliste"/>
        <w:widowControl w:val="0"/>
        <w:numPr>
          <w:ilvl w:val="0"/>
          <w:numId w:val="2"/>
        </w:numPr>
        <w:autoSpaceDE w:val="0"/>
        <w:autoSpaceDN w:val="0"/>
        <w:adjustRightInd w:val="0"/>
        <w:jc w:val="both"/>
        <w:rPr>
          <w:lang w:val="fr-FR"/>
        </w:rPr>
      </w:pPr>
      <w:r w:rsidRPr="00232F90">
        <w:rPr>
          <w:lang w:val="fr-FR"/>
        </w:rPr>
        <w:t>Le</w:t>
      </w:r>
      <w:r w:rsidR="001A22BA" w:rsidRPr="00232F90">
        <w:rPr>
          <w:lang w:val="fr-FR"/>
        </w:rPr>
        <w:t xml:space="preserve"> sujet chercheur face à l’institution  et aux institutions  emboitées dans la configuration politique dominante marquée entre autre par </w:t>
      </w:r>
      <w:r w:rsidRPr="00232F90">
        <w:rPr>
          <w:lang w:val="fr-FR"/>
        </w:rPr>
        <w:t xml:space="preserve"> l’évaluation</w:t>
      </w:r>
      <w:r w:rsidR="001A22BA" w:rsidRPr="00232F90">
        <w:rPr>
          <w:lang w:val="fr-FR"/>
        </w:rPr>
        <w:t xml:space="preserve">, auréolée des valeurs </w:t>
      </w:r>
      <w:r w:rsidR="00087EFD" w:rsidRPr="00232F90">
        <w:rPr>
          <w:lang w:val="fr-FR"/>
        </w:rPr>
        <w:t>de transparence et de performance</w:t>
      </w:r>
      <w:r w:rsidR="001A22BA" w:rsidRPr="00232F90">
        <w:rPr>
          <w:lang w:val="fr-FR"/>
        </w:rPr>
        <w:t>.</w:t>
      </w:r>
    </w:p>
    <w:p w:rsidR="001A22BA" w:rsidRPr="00232F90" w:rsidRDefault="001A22BA" w:rsidP="001A22BA">
      <w:pPr>
        <w:widowControl w:val="0"/>
        <w:autoSpaceDE w:val="0"/>
        <w:autoSpaceDN w:val="0"/>
        <w:adjustRightInd w:val="0"/>
        <w:jc w:val="both"/>
        <w:rPr>
          <w:lang w:val="fr-FR"/>
        </w:rPr>
      </w:pPr>
    </w:p>
    <w:p w:rsidR="001A22BA" w:rsidRPr="00232F90" w:rsidRDefault="00232F90" w:rsidP="00232F90">
      <w:pPr>
        <w:pStyle w:val="Paragraphedeliste"/>
        <w:widowControl w:val="0"/>
        <w:numPr>
          <w:ilvl w:val="0"/>
          <w:numId w:val="2"/>
        </w:numPr>
        <w:autoSpaceDE w:val="0"/>
        <w:autoSpaceDN w:val="0"/>
        <w:adjustRightInd w:val="0"/>
        <w:jc w:val="both"/>
        <w:rPr>
          <w:lang w:val="fr-FR"/>
        </w:rPr>
      </w:pPr>
      <w:r w:rsidRPr="00232F90">
        <w:rPr>
          <w:lang w:val="fr-FR"/>
        </w:rPr>
        <w:t xml:space="preserve">Le </w:t>
      </w:r>
      <w:r w:rsidR="001A22BA" w:rsidRPr="00232F90">
        <w:rPr>
          <w:lang w:val="fr-FR"/>
        </w:rPr>
        <w:t xml:space="preserve">sujet chercheur face aux thématiques imposées ou choisies dans leur rapport politique (par exemple </w:t>
      </w:r>
      <w:r w:rsidR="00087EFD" w:rsidRPr="00232F90">
        <w:rPr>
          <w:lang w:val="fr-FR"/>
        </w:rPr>
        <w:t xml:space="preserve"> les</w:t>
      </w:r>
      <w:r w:rsidRPr="00232F90">
        <w:rPr>
          <w:lang w:val="fr-FR"/>
        </w:rPr>
        <w:t xml:space="preserve"> </w:t>
      </w:r>
      <w:r w:rsidR="001A22BA" w:rsidRPr="00232F90">
        <w:rPr>
          <w:lang w:val="fr-FR"/>
        </w:rPr>
        <w:t>Objectifs Du Développement Durable</w:t>
      </w:r>
      <w:r w:rsidR="00087EFD" w:rsidRPr="00232F90">
        <w:rPr>
          <w:lang w:val="fr-FR"/>
        </w:rPr>
        <w:t xml:space="preserve"> dans le domaine du “développement”</w:t>
      </w:r>
      <w:r w:rsidR="001A22BA" w:rsidRPr="00232F90">
        <w:rPr>
          <w:lang w:val="fr-FR"/>
        </w:rPr>
        <w:t>)</w:t>
      </w:r>
    </w:p>
    <w:p w:rsidR="001A22BA" w:rsidRPr="00232F90" w:rsidRDefault="001A22BA" w:rsidP="001A22BA">
      <w:pPr>
        <w:widowControl w:val="0"/>
        <w:autoSpaceDE w:val="0"/>
        <w:autoSpaceDN w:val="0"/>
        <w:adjustRightInd w:val="0"/>
        <w:ind w:left="360"/>
        <w:jc w:val="both"/>
        <w:rPr>
          <w:lang w:val="fr-FR"/>
        </w:rPr>
      </w:pPr>
    </w:p>
    <w:p w:rsidR="001A22BA" w:rsidRPr="00232F90" w:rsidRDefault="00232F90" w:rsidP="00232F90">
      <w:pPr>
        <w:pStyle w:val="Paragraphedeliste"/>
        <w:widowControl w:val="0"/>
        <w:numPr>
          <w:ilvl w:val="0"/>
          <w:numId w:val="2"/>
        </w:numPr>
        <w:autoSpaceDE w:val="0"/>
        <w:autoSpaceDN w:val="0"/>
        <w:adjustRightInd w:val="0"/>
        <w:jc w:val="both"/>
        <w:rPr>
          <w:lang w:val="fr-FR"/>
        </w:rPr>
      </w:pPr>
      <w:r w:rsidRPr="00232F90">
        <w:rPr>
          <w:lang w:val="fr-FR"/>
        </w:rPr>
        <w:t>L</w:t>
      </w:r>
      <w:r w:rsidR="001A22BA" w:rsidRPr="00232F90">
        <w:rPr>
          <w:lang w:val="fr-FR"/>
        </w:rPr>
        <w:t xml:space="preserve">e sujet </w:t>
      </w:r>
      <w:r w:rsidRPr="00232F90">
        <w:rPr>
          <w:lang w:val="fr-FR"/>
        </w:rPr>
        <w:t xml:space="preserve">chercheur face aux évolutions  </w:t>
      </w:r>
      <w:r w:rsidR="001A22BA" w:rsidRPr="00232F90">
        <w:rPr>
          <w:lang w:val="fr-FR"/>
        </w:rPr>
        <w:t>idéologiques  générales et sectorielles et à leur deux  pôles hégémoniques  actuels imbriqués : poli</w:t>
      </w:r>
      <w:r w:rsidRPr="00232F90">
        <w:rPr>
          <w:lang w:val="fr-FR"/>
        </w:rPr>
        <w:t>tiques d’identité (femme, homme</w:t>
      </w:r>
      <w:r w:rsidR="001A22BA" w:rsidRPr="00232F90">
        <w:rPr>
          <w:lang w:val="fr-FR"/>
        </w:rPr>
        <w:t>,</w:t>
      </w:r>
      <w:r w:rsidRPr="00232F90">
        <w:rPr>
          <w:lang w:val="fr-FR"/>
        </w:rPr>
        <w:t xml:space="preserve"> LGBT</w:t>
      </w:r>
      <w:r w:rsidR="001A22BA" w:rsidRPr="00232F90">
        <w:rPr>
          <w:lang w:val="fr-FR"/>
        </w:rPr>
        <w:t>,</w:t>
      </w:r>
      <w:r w:rsidRPr="00232F90">
        <w:rPr>
          <w:lang w:val="fr-FR"/>
        </w:rPr>
        <w:t xml:space="preserve"> </w:t>
      </w:r>
      <w:r w:rsidR="001A22BA" w:rsidRPr="00232F90">
        <w:rPr>
          <w:lang w:val="fr-FR"/>
        </w:rPr>
        <w:t>minorités, ethnicité) et finance.</w:t>
      </w:r>
    </w:p>
    <w:p w:rsidR="001A22BA" w:rsidRPr="00232F90" w:rsidRDefault="001A22BA" w:rsidP="001A22BA">
      <w:pPr>
        <w:widowControl w:val="0"/>
        <w:autoSpaceDE w:val="0"/>
        <w:autoSpaceDN w:val="0"/>
        <w:adjustRightInd w:val="0"/>
        <w:jc w:val="both"/>
        <w:rPr>
          <w:lang w:val="fr-FR"/>
        </w:rPr>
      </w:pPr>
    </w:p>
    <w:p w:rsidR="00AF45E6" w:rsidRPr="008A566C" w:rsidRDefault="00AF45E6" w:rsidP="00AF45E6">
      <w:pPr>
        <w:widowControl w:val="0"/>
        <w:autoSpaceDE w:val="0"/>
        <w:autoSpaceDN w:val="0"/>
        <w:adjustRightInd w:val="0"/>
        <w:rPr>
          <w:lang w:val="fr-FR"/>
        </w:rPr>
      </w:pPr>
      <w:r>
        <w:rPr>
          <w:b/>
          <w:lang w:val="fr-FR"/>
        </w:rPr>
        <w:t xml:space="preserve">Organisation : </w:t>
      </w:r>
      <w:r w:rsidRPr="008A566C">
        <w:rPr>
          <w:lang w:val="fr-FR"/>
        </w:rPr>
        <w:t>Pascale Absi, Isabelle Guérin, Monique Selim</w:t>
      </w:r>
    </w:p>
    <w:p w:rsidR="00AF45E6" w:rsidRPr="008A566C" w:rsidRDefault="00AF45E6" w:rsidP="001A22BA">
      <w:pPr>
        <w:jc w:val="both"/>
        <w:rPr>
          <w:b/>
          <w:lang w:val="fr-FR"/>
        </w:rPr>
      </w:pPr>
    </w:p>
    <w:p w:rsidR="008A566C" w:rsidRDefault="001A22BA" w:rsidP="00AF45E6">
      <w:pPr>
        <w:jc w:val="both"/>
        <w:rPr>
          <w:b/>
          <w:lang w:val="fr-FR"/>
        </w:rPr>
      </w:pPr>
      <w:r w:rsidRPr="00232F90">
        <w:rPr>
          <w:b/>
          <w:lang w:val="fr-FR"/>
        </w:rPr>
        <w:lastRenderedPageBreak/>
        <w:t>Les propositions de communication</w:t>
      </w:r>
      <w:r w:rsidR="00232F90" w:rsidRPr="00232F90">
        <w:rPr>
          <w:b/>
          <w:lang w:val="fr-FR"/>
        </w:rPr>
        <w:t>, sous forme de résumé ou de texte complet,</w:t>
      </w:r>
      <w:r w:rsidRPr="00232F90">
        <w:rPr>
          <w:b/>
          <w:lang w:val="fr-FR"/>
        </w:rPr>
        <w:t xml:space="preserve"> sont à envoyer avant le 1</w:t>
      </w:r>
      <w:r w:rsidR="00AF45E6" w:rsidRPr="00AF45E6">
        <w:rPr>
          <w:b/>
          <w:vertAlign w:val="superscript"/>
          <w:lang w:val="fr-FR"/>
        </w:rPr>
        <w:t>er</w:t>
      </w:r>
      <w:r w:rsidRPr="00232F90">
        <w:rPr>
          <w:b/>
          <w:lang w:val="fr-FR"/>
        </w:rPr>
        <w:t xml:space="preserve"> septembre </w:t>
      </w:r>
      <w:r w:rsidR="008A566C">
        <w:rPr>
          <w:b/>
          <w:lang w:val="fr-FR"/>
        </w:rPr>
        <w:t xml:space="preserve">2017 </w:t>
      </w:r>
      <w:r w:rsidRPr="00232F90">
        <w:rPr>
          <w:b/>
          <w:lang w:val="fr-FR"/>
        </w:rPr>
        <w:t>à</w:t>
      </w:r>
      <w:r w:rsidR="008A566C">
        <w:rPr>
          <w:b/>
          <w:lang w:val="fr-FR"/>
        </w:rPr>
        <w:t> :</w:t>
      </w:r>
    </w:p>
    <w:p w:rsidR="00D0551A" w:rsidRPr="00232F90" w:rsidRDefault="008F4F9B" w:rsidP="00AF45E6">
      <w:pPr>
        <w:jc w:val="both"/>
        <w:rPr>
          <w:lang w:val="fr-FR"/>
        </w:rPr>
      </w:pPr>
      <w:hyperlink r:id="rId7" w:history="1">
        <w:r w:rsidR="001A22BA" w:rsidRPr="00232F90">
          <w:rPr>
            <w:rStyle w:val="Lienhypertexte"/>
            <w:lang w:val="fr-FR"/>
          </w:rPr>
          <w:t>Pascale.absi@ird.fr</w:t>
        </w:r>
      </w:hyperlink>
      <w:r w:rsidR="001A22BA" w:rsidRPr="00232F90">
        <w:rPr>
          <w:lang w:val="fr-FR"/>
        </w:rPr>
        <w:t xml:space="preserve"> </w:t>
      </w:r>
      <w:r w:rsidR="008A566C">
        <w:rPr>
          <w:lang w:val="fr-FR"/>
        </w:rPr>
        <w:t xml:space="preserve">– </w:t>
      </w:r>
      <w:hyperlink r:id="rId8" w:history="1">
        <w:r w:rsidR="001A22BA" w:rsidRPr="00232F90">
          <w:rPr>
            <w:rStyle w:val="Lienhypertexte"/>
            <w:lang w:val="fr-FR"/>
          </w:rPr>
          <w:t>monique.selim@ird.fr</w:t>
        </w:r>
      </w:hyperlink>
      <w:r w:rsidR="00232F90" w:rsidRPr="00232F90">
        <w:rPr>
          <w:lang w:val="fr-FR"/>
        </w:rPr>
        <w:t xml:space="preserve"> </w:t>
      </w:r>
      <w:r w:rsidR="008A566C">
        <w:rPr>
          <w:lang w:val="fr-FR"/>
        </w:rPr>
        <w:t xml:space="preserve">– </w:t>
      </w:r>
      <w:hyperlink r:id="rId9" w:history="1">
        <w:r w:rsidR="001A22BA" w:rsidRPr="00232F90">
          <w:rPr>
            <w:rStyle w:val="Lienhypertexte"/>
            <w:lang w:val="fr-FR"/>
          </w:rPr>
          <w:t>Isabelle.guerin@ird.fr</w:t>
        </w:r>
      </w:hyperlink>
    </w:p>
    <w:sectPr w:rsidR="00D0551A" w:rsidRPr="00232F90" w:rsidSect="00AF45E6">
      <w:headerReference w:type="even" r:id="rId10"/>
      <w:headerReference w:type="default" r:id="rId11"/>
      <w:footerReference w:type="even" r:id="rId12"/>
      <w:footerReference w:type="default" r:id="rId13"/>
      <w:headerReference w:type="first" r:id="rId14"/>
      <w:footerReference w:type="first" r:id="rId15"/>
      <w:pgSz w:w="11900" w:h="16820"/>
      <w:pgMar w:top="851" w:right="1418" w:bottom="851" w:left="1418" w:header="567" w:footer="39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107" w:rsidRDefault="00E30107" w:rsidP="00A551F9">
      <w:r>
        <w:separator/>
      </w:r>
    </w:p>
  </w:endnote>
  <w:endnote w:type="continuationSeparator" w:id="0">
    <w:p w:rsidR="00E30107" w:rsidRDefault="00E30107" w:rsidP="00A55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ANSOQN+TimesNewRomanPS-BoldMT">
    <w:altName w:val="Times New Roman 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2" w:rsidRDefault="006277A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A" w:rsidRPr="009F3CB0" w:rsidRDefault="00DB0E4A" w:rsidP="009F3CB0">
    <w:pPr>
      <w:pStyle w:val="Pieddepage"/>
    </w:pPr>
    <w:r>
      <w:rPr>
        <w:noProof/>
        <w:lang w:val="fr-FR" w:eastAsia="zh-CN"/>
      </w:rPr>
      <w:drawing>
        <wp:inline distT="0" distB="0" distL="0" distR="0">
          <wp:extent cx="5742940" cy="945515"/>
          <wp:effectExtent l="0" t="0" r="0" b="0"/>
          <wp:docPr id="7" name="Image 7" descr="Clarisse:Users:clarisse:Desktop:logoCESSMA:bandeaubasCESSMA-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risse:Users:clarisse:Desktop:logoCESSMA:bandeaubasCESSMA-0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42940" cy="94551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2" w:rsidRDefault="006277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107" w:rsidRDefault="00E30107" w:rsidP="00A551F9">
      <w:r>
        <w:separator/>
      </w:r>
    </w:p>
  </w:footnote>
  <w:footnote w:type="continuationSeparator" w:id="0">
    <w:p w:rsidR="00E30107" w:rsidRDefault="00E30107" w:rsidP="00A551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2" w:rsidRDefault="006277A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2" w:rsidRDefault="006277A2" w:rsidP="006277A2">
    <w:pPr>
      <w:pStyle w:val="Default"/>
      <w:framePr w:w="11381" w:wrap="auto" w:vAnchor="page" w:hAnchor="page" w:x="567" w:y="761"/>
      <w:spacing w:after="920"/>
    </w:pPr>
    <w:r>
      <w:rPr>
        <w:noProof/>
      </w:rPr>
      <w:drawing>
        <wp:inline distT="0" distB="0" distL="0" distR="0">
          <wp:extent cx="7185660" cy="10744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7185660" cy="1074420"/>
                  </a:xfrm>
                  <a:prstGeom prst="rect">
                    <a:avLst/>
                  </a:prstGeom>
                  <a:noFill/>
                  <a:ln w="9525">
                    <a:noFill/>
                    <a:miter lim="800000"/>
                    <a:headEnd/>
                    <a:tailEnd/>
                  </a:ln>
                </pic:spPr>
              </pic:pic>
            </a:graphicData>
          </a:graphic>
        </wp:inline>
      </w:drawing>
    </w:r>
  </w:p>
  <w:p w:rsidR="00DB0E4A" w:rsidRDefault="00DB0E4A" w:rsidP="00955077">
    <w:pPr>
      <w:pStyle w:val="En-tte"/>
      <w:tabs>
        <w:tab w:val="clear" w:pos="9072"/>
      </w:tabs>
      <w:ind w:right="-57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7A2" w:rsidRDefault="006277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41071"/>
    <w:multiLevelType w:val="hybridMultilevel"/>
    <w:tmpl w:val="8AE02428"/>
    <w:lvl w:ilvl="0" w:tplc="ADE81524">
      <w:numFmt w:val="bullet"/>
      <w:lvlText w:val=""/>
      <w:lvlJc w:val="left"/>
      <w:pPr>
        <w:ind w:left="364" w:hanging="360"/>
      </w:pPr>
      <w:rPr>
        <w:rFonts w:ascii="Symbol" w:eastAsiaTheme="minorEastAsia" w:hAnsi="Symbol" w:cs="Times New Roman"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
    <w:nsid w:val="443F56E2"/>
    <w:multiLevelType w:val="hybridMultilevel"/>
    <w:tmpl w:val="E3E8D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A551F9"/>
    <w:rsid w:val="000745F8"/>
    <w:rsid w:val="00087EFD"/>
    <w:rsid w:val="000A74C9"/>
    <w:rsid w:val="001733B3"/>
    <w:rsid w:val="0018051A"/>
    <w:rsid w:val="001A22BA"/>
    <w:rsid w:val="00232F90"/>
    <w:rsid w:val="0023720B"/>
    <w:rsid w:val="0024773E"/>
    <w:rsid w:val="002E43C7"/>
    <w:rsid w:val="00323354"/>
    <w:rsid w:val="00376E1C"/>
    <w:rsid w:val="00380D2D"/>
    <w:rsid w:val="003D174B"/>
    <w:rsid w:val="003E3E90"/>
    <w:rsid w:val="003F5F39"/>
    <w:rsid w:val="00524967"/>
    <w:rsid w:val="0055325D"/>
    <w:rsid w:val="005564D6"/>
    <w:rsid w:val="005D0A0A"/>
    <w:rsid w:val="005E0FF8"/>
    <w:rsid w:val="005E1F7C"/>
    <w:rsid w:val="005E24C0"/>
    <w:rsid w:val="006277A2"/>
    <w:rsid w:val="00787931"/>
    <w:rsid w:val="007B72C0"/>
    <w:rsid w:val="0084435E"/>
    <w:rsid w:val="00877F1D"/>
    <w:rsid w:val="00897ACF"/>
    <w:rsid w:val="008A566C"/>
    <w:rsid w:val="008F4F9B"/>
    <w:rsid w:val="009166F8"/>
    <w:rsid w:val="00922826"/>
    <w:rsid w:val="00955077"/>
    <w:rsid w:val="009B7537"/>
    <w:rsid w:val="009C4A66"/>
    <w:rsid w:val="009E600E"/>
    <w:rsid w:val="009F3CB0"/>
    <w:rsid w:val="00A551F9"/>
    <w:rsid w:val="00A60E6B"/>
    <w:rsid w:val="00A634E1"/>
    <w:rsid w:val="00AA6DE3"/>
    <w:rsid w:val="00AF45E6"/>
    <w:rsid w:val="00B124F4"/>
    <w:rsid w:val="00B1405A"/>
    <w:rsid w:val="00B22BDC"/>
    <w:rsid w:val="00B61BE8"/>
    <w:rsid w:val="00B65D1C"/>
    <w:rsid w:val="00C41EB3"/>
    <w:rsid w:val="00C778FA"/>
    <w:rsid w:val="00D0551A"/>
    <w:rsid w:val="00D348F8"/>
    <w:rsid w:val="00D818A1"/>
    <w:rsid w:val="00DA2D9A"/>
    <w:rsid w:val="00DA41D5"/>
    <w:rsid w:val="00DB0E4A"/>
    <w:rsid w:val="00DD0A17"/>
    <w:rsid w:val="00E30107"/>
    <w:rsid w:val="00E70577"/>
    <w:rsid w:val="00E966FB"/>
    <w:rsid w:val="00EC7E97"/>
    <w:rsid w:val="00EF6902"/>
    <w:rsid w:val="00F51603"/>
    <w:rsid w:val="00F90DE5"/>
    <w:rsid w:val="00F9399B"/>
    <w:rsid w:val="00F95D1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9B"/>
    <w:rPr>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1F9"/>
    <w:pPr>
      <w:tabs>
        <w:tab w:val="center" w:pos="4536"/>
        <w:tab w:val="right" w:pos="9072"/>
      </w:tabs>
    </w:pPr>
  </w:style>
  <w:style w:type="character" w:customStyle="1" w:styleId="En-tteCar">
    <w:name w:val="En-tête Car"/>
    <w:basedOn w:val="Policepardfaut"/>
    <w:link w:val="En-tte"/>
    <w:uiPriority w:val="99"/>
    <w:rsid w:val="00A551F9"/>
    <w:rPr>
      <w:lang w:val="en-US" w:eastAsia="fr-FR"/>
    </w:rPr>
  </w:style>
  <w:style w:type="paragraph" w:styleId="Pieddepage">
    <w:name w:val="footer"/>
    <w:basedOn w:val="Normal"/>
    <w:link w:val="PieddepageCar"/>
    <w:uiPriority w:val="99"/>
    <w:unhideWhenUsed/>
    <w:rsid w:val="00A551F9"/>
    <w:pPr>
      <w:tabs>
        <w:tab w:val="center" w:pos="4536"/>
        <w:tab w:val="right" w:pos="9072"/>
      </w:tabs>
    </w:pPr>
  </w:style>
  <w:style w:type="character" w:customStyle="1" w:styleId="PieddepageCar">
    <w:name w:val="Pied de page Car"/>
    <w:basedOn w:val="Policepardfaut"/>
    <w:link w:val="Pieddepage"/>
    <w:uiPriority w:val="99"/>
    <w:rsid w:val="00A551F9"/>
    <w:rPr>
      <w:lang w:val="en-US" w:eastAsia="fr-FR"/>
    </w:rPr>
  </w:style>
  <w:style w:type="table" w:styleId="Grilledutableau">
    <w:name w:val="Table Grid"/>
    <w:basedOn w:val="TableauNormal"/>
    <w:uiPriority w:val="59"/>
    <w:rsid w:val="00A551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51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51F9"/>
    <w:rPr>
      <w:rFonts w:ascii="Lucida Grande" w:hAnsi="Lucida Grande" w:cs="Lucida Grande"/>
      <w:sz w:val="18"/>
      <w:szCs w:val="18"/>
      <w:lang w:val="en-US" w:eastAsia="fr-FR"/>
    </w:rPr>
  </w:style>
  <w:style w:type="paragraph" w:styleId="Corpsdetexte">
    <w:name w:val="Body Text"/>
    <w:basedOn w:val="Normal"/>
    <w:link w:val="CorpsdetexteCar"/>
    <w:rsid w:val="00877F1D"/>
    <w:pPr>
      <w:widowControl w:val="0"/>
      <w:suppressAutoHyphens/>
      <w:spacing w:after="120"/>
    </w:pPr>
    <w:rPr>
      <w:rFonts w:eastAsia="Times New Roman"/>
      <w:sz w:val="20"/>
      <w:szCs w:val="20"/>
      <w:lang w:val="fr-FR"/>
    </w:rPr>
  </w:style>
  <w:style w:type="character" w:customStyle="1" w:styleId="CorpsdetexteCar">
    <w:name w:val="Corps de texte Car"/>
    <w:basedOn w:val="Policepardfaut"/>
    <w:link w:val="Corpsdetexte"/>
    <w:rsid w:val="00877F1D"/>
    <w:rPr>
      <w:rFonts w:eastAsia="Times New Roman"/>
      <w:sz w:val="20"/>
      <w:szCs w:val="20"/>
      <w:lang w:eastAsia="fr-FR"/>
    </w:rPr>
  </w:style>
  <w:style w:type="paragraph" w:styleId="Paragraphedeliste">
    <w:name w:val="List Paragraph"/>
    <w:basedOn w:val="Normal"/>
    <w:uiPriority w:val="34"/>
    <w:qFormat/>
    <w:rsid w:val="009166F8"/>
    <w:pPr>
      <w:ind w:left="720"/>
      <w:contextualSpacing/>
    </w:pPr>
  </w:style>
  <w:style w:type="character" w:styleId="Lienhypertexte">
    <w:name w:val="Hyperlink"/>
    <w:rsid w:val="00E70577"/>
    <w:rPr>
      <w:color w:val="0000FF"/>
      <w:u w:val="single"/>
    </w:rPr>
  </w:style>
  <w:style w:type="character" w:styleId="Lienhypertextesuivivisit">
    <w:name w:val="FollowedHyperlink"/>
    <w:basedOn w:val="Policepardfaut"/>
    <w:uiPriority w:val="99"/>
    <w:semiHidden/>
    <w:unhideWhenUsed/>
    <w:rsid w:val="00F9399B"/>
    <w:rPr>
      <w:color w:val="800080" w:themeColor="followedHyperlink"/>
      <w:u w:val="single"/>
    </w:rPr>
  </w:style>
  <w:style w:type="paragraph" w:customStyle="1" w:styleId="Default">
    <w:name w:val="Default"/>
    <w:rsid w:val="006277A2"/>
    <w:pPr>
      <w:widowControl w:val="0"/>
      <w:autoSpaceDE w:val="0"/>
      <w:autoSpaceDN w:val="0"/>
      <w:adjustRightInd w:val="0"/>
    </w:pPr>
    <w:rPr>
      <w:rFonts w:ascii="ANSOQN+TimesNewRomanPS-BoldMT" w:eastAsia="SimSun" w:hAnsi="ANSOQN+TimesNewRomanPS-BoldMT" w:cs="ANSOQN+TimesNewRomanPS-BoldMT"/>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1F9"/>
    <w:pPr>
      <w:tabs>
        <w:tab w:val="center" w:pos="4536"/>
        <w:tab w:val="right" w:pos="9072"/>
      </w:tabs>
    </w:pPr>
  </w:style>
  <w:style w:type="character" w:customStyle="1" w:styleId="En-tteCar">
    <w:name w:val="En-tête Car"/>
    <w:basedOn w:val="Policepardfaut"/>
    <w:link w:val="En-tte"/>
    <w:uiPriority w:val="99"/>
    <w:rsid w:val="00A551F9"/>
    <w:rPr>
      <w:lang w:val="en-US" w:eastAsia="fr-FR"/>
    </w:rPr>
  </w:style>
  <w:style w:type="paragraph" w:styleId="Pieddepage">
    <w:name w:val="footer"/>
    <w:basedOn w:val="Normal"/>
    <w:link w:val="PieddepageCar"/>
    <w:uiPriority w:val="99"/>
    <w:unhideWhenUsed/>
    <w:rsid w:val="00A551F9"/>
    <w:pPr>
      <w:tabs>
        <w:tab w:val="center" w:pos="4536"/>
        <w:tab w:val="right" w:pos="9072"/>
      </w:tabs>
    </w:pPr>
  </w:style>
  <w:style w:type="character" w:customStyle="1" w:styleId="PieddepageCar">
    <w:name w:val="Pied de page Car"/>
    <w:basedOn w:val="Policepardfaut"/>
    <w:link w:val="Pieddepage"/>
    <w:uiPriority w:val="99"/>
    <w:rsid w:val="00A551F9"/>
    <w:rPr>
      <w:lang w:val="en-US" w:eastAsia="fr-FR"/>
    </w:rPr>
  </w:style>
  <w:style w:type="table" w:styleId="Grille">
    <w:name w:val="Table Grid"/>
    <w:basedOn w:val="TableauNormal"/>
    <w:uiPriority w:val="59"/>
    <w:rsid w:val="00A551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51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51F9"/>
    <w:rPr>
      <w:rFonts w:ascii="Lucida Grande" w:hAnsi="Lucida Grande" w:cs="Lucida Grande"/>
      <w:sz w:val="18"/>
      <w:szCs w:val="18"/>
      <w:lang w:val="en-US" w:eastAsia="fr-FR"/>
    </w:rPr>
  </w:style>
  <w:style w:type="paragraph" w:styleId="Corpsdetexte">
    <w:name w:val="Body Text"/>
    <w:basedOn w:val="Normal"/>
    <w:link w:val="CorpsdetexteCar"/>
    <w:rsid w:val="00877F1D"/>
    <w:pPr>
      <w:widowControl w:val="0"/>
      <w:suppressAutoHyphens/>
      <w:spacing w:after="120"/>
    </w:pPr>
    <w:rPr>
      <w:rFonts w:eastAsia="Times New Roman"/>
      <w:sz w:val="20"/>
      <w:szCs w:val="20"/>
      <w:lang w:val="fr-FR"/>
    </w:rPr>
  </w:style>
  <w:style w:type="character" w:customStyle="1" w:styleId="CorpsdetexteCar">
    <w:name w:val="Corps de texte Car"/>
    <w:basedOn w:val="Policepardfaut"/>
    <w:link w:val="Corpsdetexte"/>
    <w:rsid w:val="00877F1D"/>
    <w:rPr>
      <w:rFonts w:eastAsia="Times New Roman"/>
      <w:sz w:val="20"/>
      <w:szCs w:val="20"/>
      <w:lang w:eastAsia="fr-FR"/>
    </w:rPr>
  </w:style>
  <w:style w:type="paragraph" w:styleId="Paragraphedeliste">
    <w:name w:val="List Paragraph"/>
    <w:basedOn w:val="Normal"/>
    <w:uiPriority w:val="34"/>
    <w:qFormat/>
    <w:rsid w:val="009166F8"/>
    <w:pPr>
      <w:ind w:left="720"/>
      <w:contextualSpacing/>
    </w:pPr>
  </w:style>
  <w:style w:type="character" w:styleId="Lienhypertexte">
    <w:name w:val="Hyperlink"/>
    <w:rsid w:val="00E70577"/>
    <w:rPr>
      <w:color w:val="0000FF"/>
      <w:u w:val="single"/>
    </w:rPr>
  </w:style>
  <w:style w:type="character" w:styleId="Lienhypertextesuivi">
    <w:name w:val="FollowedHyperlink"/>
    <w:basedOn w:val="Policepardfaut"/>
    <w:uiPriority w:val="99"/>
    <w:semiHidden/>
    <w:unhideWhenUsed/>
    <w:rsid w:val="00F939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2353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selim@ird.fr"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ascale.absi@ird.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sabelle.guerin@ird.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Gilles Guiheux</dc:creator>
  <cp:lastModifiedBy>Wenjing</cp:lastModifiedBy>
  <cp:revision>8</cp:revision>
  <cp:lastPrinted>2014-10-10T10:26:00Z</cp:lastPrinted>
  <dcterms:created xsi:type="dcterms:W3CDTF">2017-05-19T09:06:00Z</dcterms:created>
  <dcterms:modified xsi:type="dcterms:W3CDTF">2017-10-24T22:02:00Z</dcterms:modified>
</cp:coreProperties>
</file>